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spacing w:line="360" w:lineRule="atLeast"/>
        <w:jc w:val="left"/>
        <w:rPr>
          <w:rFonts w:hint="eastAsia" w:ascii="宋体 ，Arial" w:hAnsi="宋体" w:eastAsia="宋体 ，Arial" w:cs="宋体"/>
          <w:color w:val="000000"/>
          <w:kern w:val="0"/>
          <w:sz w:val="18"/>
          <w:szCs w:val="18"/>
        </w:rPr>
      </w:pPr>
      <w:r>
        <w:rPr>
          <w:rFonts w:hint="eastAsia" w:ascii="仿宋" w:hAnsi="仿宋" w:eastAsia="仿宋"/>
          <w:bCs/>
          <w:sz w:val="32"/>
          <w:szCs w:val="44"/>
        </w:rPr>
        <w:t>附件1</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eastAsia" w:ascii="方正小标宋简体" w:eastAsia="方正小标宋简体"/>
          <w:bCs/>
          <w:sz w:val="44"/>
          <w:szCs w:val="44"/>
        </w:rPr>
      </w:pPr>
      <w:r>
        <w:rPr>
          <w:rFonts w:hint="eastAsia" w:ascii="方正小标宋简体" w:eastAsia="方正小标宋简体"/>
          <w:bCs/>
          <w:sz w:val="36"/>
          <w:szCs w:val="44"/>
        </w:rPr>
        <w:t>关于推动建筑市场统一开放的若干规定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3" w:firstLineChars="200"/>
        <w:textAlignment w:val="auto"/>
        <w:outlineLvl w:val="9"/>
        <w:rPr>
          <w:rFonts w:hint="eastAsia" w:ascii="仿宋" w:hAnsi="仿宋" w:eastAsia="仿宋"/>
          <w:sz w:val="32"/>
          <w:szCs w:val="32"/>
        </w:rPr>
      </w:pPr>
      <w:r>
        <w:rPr>
          <w:rFonts w:hint="eastAsia" w:ascii="仿宋" w:hAnsi="仿宋" w:eastAsia="仿宋"/>
          <w:b/>
          <w:bCs/>
          <w:sz w:val="32"/>
          <w:szCs w:val="32"/>
        </w:rPr>
        <w:t xml:space="preserve">第一条 </w:t>
      </w:r>
      <w:r>
        <w:rPr>
          <w:rFonts w:hint="eastAsia" w:ascii="仿宋" w:hAnsi="仿宋" w:eastAsia="仿宋"/>
          <w:sz w:val="32"/>
          <w:szCs w:val="32"/>
        </w:rPr>
        <w:t>为建立健全统一开放、竞争有序的建筑市场体系，促进建筑企业公平竞争，加强对建筑企业跨省承揽业务活动的监督管理，依据《中华人民共和国建筑法》、《企业信息公示暂行条例》、《关于促进市场公平竞争维护市场正常秩序的若干意见》（国发〔2014〕20号）等，制定本规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3" w:firstLineChars="200"/>
        <w:textAlignment w:val="auto"/>
        <w:outlineLvl w:val="9"/>
        <w:rPr>
          <w:rFonts w:hint="eastAsia" w:ascii="仿宋" w:hAnsi="仿宋" w:eastAsia="仿宋"/>
          <w:sz w:val="32"/>
          <w:szCs w:val="32"/>
        </w:rPr>
      </w:pPr>
      <w:r>
        <w:rPr>
          <w:rFonts w:hint="eastAsia" w:ascii="仿宋" w:hAnsi="仿宋" w:eastAsia="仿宋"/>
          <w:b/>
          <w:bCs/>
          <w:sz w:val="32"/>
          <w:szCs w:val="32"/>
        </w:rPr>
        <w:t xml:space="preserve">第二条 </w:t>
      </w:r>
      <w:r>
        <w:rPr>
          <w:rFonts w:hint="eastAsia" w:ascii="仿宋" w:hAnsi="仿宋" w:eastAsia="仿宋"/>
          <w:sz w:val="32"/>
          <w:szCs w:val="32"/>
        </w:rPr>
        <w:t>建筑企业在中华人民共和国境内跨省承揽房屋建筑和市政基础设施工程及其监督管理活动，适用本规定。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本规定所称建筑企业是指取得工程勘察、设计、施工、监理、招标代理等资质资格证书的企业。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本规定所称跨省承揽业务是指建筑企业到注册所在地省级行政区域以外的地区承揽业务的活动。</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3" w:firstLineChars="200"/>
        <w:textAlignment w:val="auto"/>
        <w:outlineLvl w:val="9"/>
        <w:rPr>
          <w:rFonts w:hint="eastAsia" w:ascii="仿宋" w:hAnsi="仿宋" w:eastAsia="仿宋"/>
          <w:sz w:val="32"/>
          <w:szCs w:val="32"/>
        </w:rPr>
      </w:pPr>
      <w:r>
        <w:rPr>
          <w:rFonts w:hint="eastAsia" w:ascii="仿宋" w:hAnsi="仿宋" w:eastAsia="仿宋"/>
          <w:b/>
          <w:bCs/>
          <w:sz w:val="32"/>
          <w:szCs w:val="32"/>
        </w:rPr>
        <w:t xml:space="preserve">第三条 </w:t>
      </w:r>
      <w:r>
        <w:rPr>
          <w:rFonts w:hint="eastAsia" w:ascii="仿宋" w:hAnsi="仿宋" w:eastAsia="仿宋"/>
          <w:sz w:val="32"/>
          <w:szCs w:val="32"/>
        </w:rPr>
        <w:t>各级住房城乡建设主管部门要全面落实国家关于促进企业深化改革发展的各项政策措施，加强政策引导，营造有利于实力强、信誉好的建筑企业开展跨省承揽业务的宽松环境。</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3" w:firstLineChars="200"/>
        <w:textAlignment w:val="auto"/>
        <w:outlineLvl w:val="9"/>
        <w:rPr>
          <w:rFonts w:hint="eastAsia" w:ascii="仿宋" w:hAnsi="仿宋" w:eastAsia="仿宋"/>
          <w:sz w:val="32"/>
          <w:szCs w:val="32"/>
        </w:rPr>
      </w:pPr>
      <w:r>
        <w:rPr>
          <w:rFonts w:hint="eastAsia" w:ascii="仿宋" w:hAnsi="仿宋" w:eastAsia="仿宋"/>
          <w:b/>
          <w:bCs/>
          <w:sz w:val="32"/>
          <w:szCs w:val="32"/>
        </w:rPr>
        <w:t xml:space="preserve">第四条 </w:t>
      </w:r>
      <w:r>
        <w:rPr>
          <w:rFonts w:hint="eastAsia" w:ascii="仿宋" w:hAnsi="仿宋" w:eastAsia="仿宋"/>
          <w:sz w:val="32"/>
          <w:szCs w:val="32"/>
        </w:rPr>
        <w:t>各级住房城乡建设主管部门应当按照简政放权、方便企业、规范管理的原则，简化前置管理，强化事中事后监管，给予外地建筑企业与本地建筑企业同等待遇，实行统一的市场监管，推动建筑市场统一开放。</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b/>
          <w:bCs/>
          <w:sz w:val="32"/>
          <w:szCs w:val="32"/>
        </w:rPr>
      </w:pPr>
      <w:r>
        <w:rPr>
          <w:rFonts w:hint="eastAsia" w:ascii="仿宋" w:hAnsi="仿宋" w:eastAsia="仿宋"/>
          <w:b/>
          <w:bCs/>
          <w:sz w:val="32"/>
          <w:szCs w:val="32"/>
        </w:rPr>
        <w:t xml:space="preserve">    第五条 </w:t>
      </w:r>
      <w:r>
        <w:rPr>
          <w:rFonts w:hint="eastAsia" w:ascii="仿宋" w:hAnsi="仿宋" w:eastAsia="仿宋"/>
          <w:sz w:val="32"/>
          <w:szCs w:val="32"/>
        </w:rPr>
        <w:t>住房城乡建设部对全国建筑企业跨省承揽业务活动实施统一监督管理。省级住房城乡建设主管部门对在本地区承揽业务的外地建筑企业实施监督管理。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b/>
          <w:bCs/>
          <w:sz w:val="32"/>
          <w:szCs w:val="32"/>
        </w:rPr>
      </w:pPr>
      <w:r>
        <w:rPr>
          <w:rFonts w:hint="eastAsia" w:ascii="仿宋" w:hAnsi="仿宋" w:eastAsia="仿宋"/>
          <w:sz w:val="32"/>
          <w:szCs w:val="32"/>
        </w:rPr>
        <w:t xml:space="preserve">    住房城乡建设部通过建立全国建筑市场监管与诚信信息发布平台，与各省级平台相对接，统一公开各地建筑市场监管和诚信行为信息。</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sz w:val="32"/>
          <w:szCs w:val="32"/>
        </w:rPr>
      </w:pPr>
      <w:r>
        <w:rPr>
          <w:rFonts w:hint="eastAsia" w:ascii="仿宋" w:hAnsi="仿宋" w:eastAsia="仿宋"/>
          <w:b/>
          <w:bCs/>
          <w:sz w:val="32"/>
          <w:szCs w:val="32"/>
        </w:rPr>
        <w:t xml:space="preserve">    第六条 </w:t>
      </w:r>
      <w:r>
        <w:rPr>
          <w:rFonts w:hint="eastAsia" w:ascii="仿宋" w:hAnsi="仿宋" w:eastAsia="仿宋"/>
          <w:sz w:val="32"/>
          <w:szCs w:val="32"/>
        </w:rPr>
        <w:t>建筑企业跨省承揽业务的，应当持</w:t>
      </w:r>
      <w:r>
        <w:rPr>
          <w:rFonts w:hint="eastAsia" w:ascii="仿宋" w:hAnsi="仿宋" w:eastAsia="仿宋"/>
          <w:color w:val="323232"/>
          <w:sz w:val="32"/>
        </w:rPr>
        <w:t>企业</w:t>
      </w:r>
      <w:r>
        <w:rPr>
          <w:rFonts w:hint="eastAsia" w:ascii="仿宋" w:hAnsi="仿宋" w:eastAsia="仿宋"/>
          <w:sz w:val="32"/>
          <w:szCs w:val="32"/>
        </w:rPr>
        <w:t>法定代表人授权委托书向工程所在地省级住房城乡建设主管部门报送企业基本信息。企业基本信息内容应包括：企业资质证书副本(复印件）、安全生产许可证副本（复印件，施工企业）、企业诚信守法承诺书、</w:t>
      </w:r>
      <w:r>
        <w:rPr>
          <w:rFonts w:hint="eastAsia" w:ascii="仿宋" w:hAnsi="仿宋" w:eastAsia="仿宋"/>
          <w:color w:val="323232"/>
          <w:sz w:val="32"/>
        </w:rPr>
        <w:t>在本地</w:t>
      </w:r>
      <w:r>
        <w:rPr>
          <w:rFonts w:hint="eastAsia" w:ascii="仿宋" w:hAnsi="仿宋" w:eastAsia="仿宋"/>
          <w:sz w:val="32"/>
          <w:szCs w:val="32"/>
        </w:rPr>
        <w:t>承揽业务</w:t>
      </w:r>
      <w:r>
        <w:rPr>
          <w:rFonts w:hint="eastAsia" w:ascii="仿宋" w:hAnsi="仿宋" w:eastAsia="仿宋"/>
          <w:color w:val="323232"/>
          <w:sz w:val="32"/>
        </w:rPr>
        <w:t>负责人的任命书及身份信息、联系方式</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建筑企业应当对报送信息的真实性负责。企业基本信息发生变更的，应当及时告知工程所在地省级住房城乡建设主管部门。</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sz w:val="32"/>
          <w:szCs w:val="32"/>
        </w:rPr>
      </w:pPr>
      <w:r>
        <w:rPr>
          <w:rFonts w:hint="eastAsia" w:ascii="仿宋" w:hAnsi="仿宋" w:eastAsia="仿宋"/>
          <w:b/>
          <w:bCs/>
          <w:sz w:val="32"/>
          <w:szCs w:val="32"/>
        </w:rPr>
        <w:t xml:space="preserve">    第七条 </w:t>
      </w:r>
      <w:r>
        <w:rPr>
          <w:rFonts w:hint="eastAsia" w:ascii="仿宋" w:hAnsi="仿宋" w:eastAsia="仿宋"/>
          <w:sz w:val="32"/>
          <w:szCs w:val="32"/>
        </w:rPr>
        <w:t>工程所在地省级住房城乡建设主管部门收到建筑企业报送的基本信息后，应当及时纳入全省统一的建筑市场监管信息系统，通告本地区各级住房城乡建设主管部门，并向社会公示。</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sz w:val="32"/>
          <w:szCs w:val="32"/>
        </w:rPr>
      </w:pPr>
      <w:r>
        <w:rPr>
          <w:rFonts w:hint="eastAsia" w:ascii="仿宋" w:hAnsi="仿宋" w:eastAsia="仿宋"/>
          <w:sz w:val="32"/>
          <w:szCs w:val="32"/>
        </w:rPr>
        <w:t xml:space="preserve">    企业录入基本信息后，可在工程所在地省级行政区域内承揽业务。省级行政区域内各级住房城乡建设主管部门不得要求建筑企业重复报送信息，或每年度报送信息。</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sz w:val="32"/>
          <w:szCs w:val="32"/>
        </w:rPr>
      </w:pPr>
      <w:r>
        <w:rPr>
          <w:rFonts w:hint="eastAsia" w:ascii="仿宋" w:hAnsi="仿宋" w:eastAsia="仿宋"/>
          <w:color w:val="323232"/>
          <w:sz w:val="32"/>
        </w:rPr>
        <w:t xml:space="preserve">    在全国建筑市场监管与诚信信息发布平台可查询到的信息，</w:t>
      </w:r>
      <w:r>
        <w:rPr>
          <w:rFonts w:hint="eastAsia" w:ascii="仿宋" w:hAnsi="仿宋" w:eastAsia="仿宋"/>
          <w:sz w:val="32"/>
          <w:szCs w:val="32"/>
        </w:rPr>
        <w:t>省级住房城乡建设主管部门应当通过信息系统进行核查，</w:t>
      </w:r>
      <w:r>
        <w:rPr>
          <w:rFonts w:hint="eastAsia" w:ascii="仿宋" w:hAnsi="仿宋" w:eastAsia="仿宋"/>
          <w:color w:val="323232"/>
          <w:sz w:val="32"/>
        </w:rPr>
        <w:t>不再要求建筑</w:t>
      </w:r>
      <w:r>
        <w:rPr>
          <w:rFonts w:hint="eastAsia" w:ascii="仿宋" w:hAnsi="仿宋" w:eastAsia="仿宋"/>
          <w:sz w:val="32"/>
          <w:szCs w:val="32"/>
        </w:rPr>
        <w:t>企业提交纸质材料。</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3" w:firstLineChars="200"/>
        <w:textAlignment w:val="auto"/>
        <w:outlineLvl w:val="9"/>
        <w:rPr>
          <w:rFonts w:hint="eastAsia" w:ascii="仿宋" w:hAnsi="仿宋" w:eastAsia="仿宋"/>
          <w:sz w:val="32"/>
          <w:szCs w:val="32"/>
        </w:rPr>
      </w:pPr>
      <w:r>
        <w:rPr>
          <w:rFonts w:hint="eastAsia" w:ascii="仿宋" w:hAnsi="仿宋" w:eastAsia="仿宋"/>
          <w:b/>
          <w:bCs/>
          <w:sz w:val="32"/>
          <w:szCs w:val="32"/>
        </w:rPr>
        <w:t xml:space="preserve">第八条 </w:t>
      </w:r>
      <w:r>
        <w:rPr>
          <w:rFonts w:hint="eastAsia" w:ascii="仿宋" w:hAnsi="仿宋" w:eastAsia="仿宋"/>
          <w:sz w:val="32"/>
          <w:szCs w:val="32"/>
        </w:rPr>
        <w:t>地方各级住房城乡建设主管部门在建筑企业跨省承揽业务监督管理工作中，不得违反法律法规的规定，直接或变相实行以下行为：</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（一）擅自设置任何审批、备案事项，或者告知条件；</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（二）收取没有法律法规依据的任何费用或保证金等；</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（三）要求外地企业在本地区注册设立独立子公司或分公司；</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（四）强制扣押外地企业和人员的相关证照资料；</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（五）要求外地企业注册所在地住房城乡建设主管部门或其上级主管部门出具相关证明；</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（六）将资质资格等级作为外地企业进入本地区承揽业务的条件；</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（七）以本地区承揽工程业绩、本地区获奖情况作为企业进入本地市场条件；</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（八）要求</w:t>
      </w:r>
      <w:r>
        <w:rPr>
          <w:rFonts w:hint="eastAsia" w:ascii="仿宋" w:hAnsi="仿宋" w:eastAsia="仿宋"/>
          <w:color w:val="323232"/>
          <w:sz w:val="32"/>
        </w:rPr>
        <w:t>企业</w:t>
      </w:r>
      <w:r>
        <w:rPr>
          <w:rFonts w:hint="eastAsia" w:ascii="仿宋" w:hAnsi="仿宋" w:eastAsia="仿宋"/>
          <w:sz w:val="32"/>
          <w:szCs w:val="32"/>
        </w:rPr>
        <w:t>法定代表人到场办理入省（市）手续；</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（九）其他妨碍企业自主经营、公平竞争的行为。</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3" w:firstLineChars="200"/>
        <w:textAlignment w:val="auto"/>
        <w:outlineLvl w:val="9"/>
        <w:rPr>
          <w:rFonts w:hint="eastAsia" w:ascii="仿宋" w:hAnsi="仿宋" w:eastAsia="仿宋"/>
          <w:sz w:val="32"/>
          <w:szCs w:val="32"/>
        </w:rPr>
      </w:pPr>
      <w:r>
        <w:rPr>
          <w:rFonts w:hint="eastAsia" w:ascii="仿宋" w:hAnsi="仿宋" w:eastAsia="仿宋"/>
          <w:b/>
          <w:bCs/>
          <w:sz w:val="32"/>
          <w:szCs w:val="32"/>
        </w:rPr>
        <w:t xml:space="preserve">第九条 </w:t>
      </w:r>
      <w:r>
        <w:rPr>
          <w:rFonts w:hint="eastAsia" w:ascii="仿宋" w:hAnsi="仿宋" w:eastAsia="仿宋"/>
          <w:sz w:val="32"/>
          <w:szCs w:val="32"/>
        </w:rPr>
        <w:t>各省级住房城乡建设主管部门应当在本地区建筑市场监管信息平台中，统一公布中标企业（包括通过直接发包方式确定的承包企业）项目班子人员信息，并将中标信息和现场执法检查相结合。在建筑市场监督检查时，重点核查项目班子人员与中标信息不一致、项目负责人不履职、建筑企业在多个项目更换项目负责人等行为，依法查处建筑企业转包、挂靠、违法分包等违法违规行为。</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3" w:firstLineChars="200"/>
        <w:textAlignment w:val="auto"/>
        <w:outlineLvl w:val="9"/>
        <w:rPr>
          <w:rFonts w:hint="eastAsia" w:ascii="仿宋" w:hAnsi="仿宋" w:eastAsia="仿宋"/>
          <w:sz w:val="32"/>
          <w:szCs w:val="32"/>
        </w:rPr>
      </w:pPr>
      <w:r>
        <w:rPr>
          <w:rFonts w:hint="eastAsia" w:ascii="仿宋" w:hAnsi="仿宋" w:eastAsia="仿宋"/>
          <w:b/>
          <w:bCs/>
          <w:sz w:val="32"/>
          <w:szCs w:val="32"/>
        </w:rPr>
        <w:t xml:space="preserve">第十条 </w:t>
      </w:r>
      <w:r>
        <w:rPr>
          <w:rFonts w:hint="eastAsia" w:ascii="仿宋" w:hAnsi="仿宋" w:eastAsia="仿宋"/>
          <w:sz w:val="32"/>
          <w:szCs w:val="32"/>
        </w:rPr>
        <w:t>对发生严重违法违规行为或报送企业基本信息时弄虚作假的建筑企业，工程所在地省级住房城乡建设主管部门应当将其列入黑名单，采取市场禁入等措施，同时上报住房城乡建设部，在全国建筑市场监管与诚信信息发布平台上向社会公布。</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3" w:firstLineChars="200"/>
        <w:textAlignment w:val="auto"/>
        <w:outlineLvl w:val="9"/>
        <w:rPr>
          <w:rFonts w:hint="eastAsia" w:ascii="仿宋" w:hAnsi="仿宋" w:eastAsia="仿宋"/>
          <w:sz w:val="32"/>
          <w:szCs w:val="32"/>
        </w:rPr>
      </w:pPr>
      <w:r>
        <w:rPr>
          <w:rFonts w:hint="eastAsia" w:ascii="仿宋" w:hAnsi="仿宋" w:eastAsia="仿宋"/>
          <w:b/>
          <w:bCs/>
          <w:sz w:val="32"/>
          <w:szCs w:val="32"/>
        </w:rPr>
        <w:t xml:space="preserve"> 第十一条 </w:t>
      </w:r>
      <w:r>
        <w:rPr>
          <w:rFonts w:hint="eastAsia" w:ascii="仿宋" w:hAnsi="仿宋" w:eastAsia="仿宋"/>
          <w:sz w:val="32"/>
          <w:szCs w:val="32"/>
        </w:rPr>
        <w:t>住房城乡建设部建立建筑企业跨省承揽业务活动监管省际协调联动机制。各省级住房城乡建设主管部门应当明确本地区负责建筑企业跨省承揽业务活动管理的机构和人员。</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工程所在地省级住房城乡建设主管部门应当及时通报外地建筑企业在本地区承揽业务活动中存在的违法违规行为等信息。注册所在地省级住房城乡建设主管部门应当积极协助其他省市核实本地建筑企业资质、人员资格等相关信息，配合处理建筑企业在跨省承揽业务中发生的违法违规行为，形成联动监管。</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sz w:val="32"/>
          <w:szCs w:val="32"/>
        </w:rPr>
      </w:pPr>
      <w:r>
        <w:rPr>
          <w:rFonts w:hint="eastAsia" w:ascii="仿宋" w:hAnsi="仿宋" w:eastAsia="仿宋"/>
          <w:b/>
          <w:bCs/>
          <w:sz w:val="32"/>
          <w:szCs w:val="32"/>
        </w:rPr>
        <w:t xml:space="preserve">    第十二条 </w:t>
      </w:r>
      <w:r>
        <w:rPr>
          <w:rFonts w:hint="eastAsia" w:ascii="仿宋" w:hAnsi="仿宋" w:eastAsia="仿宋"/>
          <w:sz w:val="32"/>
          <w:szCs w:val="32"/>
        </w:rPr>
        <w:t>注册所在地省级住房城乡建设主管部门对在外地发生违法违规行为的本地建筑企业，要及时开展动态核查。经核查，企业不符合资质标准的，应当依法进行处理。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3" w:firstLineChars="200"/>
        <w:textAlignment w:val="auto"/>
        <w:outlineLvl w:val="9"/>
        <w:rPr>
          <w:rFonts w:hint="eastAsia" w:ascii="仿宋" w:hAnsi="仿宋" w:eastAsia="仿宋"/>
          <w:sz w:val="32"/>
          <w:szCs w:val="32"/>
        </w:rPr>
      </w:pPr>
      <w:r>
        <w:rPr>
          <w:rFonts w:hint="eastAsia" w:ascii="仿宋" w:hAnsi="仿宋" w:eastAsia="仿宋"/>
          <w:b/>
          <w:bCs/>
          <w:sz w:val="32"/>
          <w:szCs w:val="32"/>
        </w:rPr>
        <w:t xml:space="preserve">第十三条 </w:t>
      </w:r>
      <w:r>
        <w:rPr>
          <w:rFonts w:hint="eastAsia" w:ascii="仿宋" w:hAnsi="仿宋" w:eastAsia="仿宋"/>
          <w:sz w:val="32"/>
          <w:szCs w:val="32"/>
        </w:rPr>
        <w:t xml:space="preserve">省级住房城乡建设主管部门应当向社会公开投诉举报电话和信箱，对本地区各级住房城乡建设主管部门的建筑企业跨省承揽业务监管工作实施监督，对设立不合理条件限制或排斥外地企业承揽业务的，应当及时纠正，情节严重的要通报批评。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住房城乡建设部依法受理全国涉及建筑企业跨省承揽业务活动监督管理的举报投诉，对违反本规定第八条及企业反映强烈、举报投诉较多、拒不整改的地区进行约谈、通报、曝光。</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b/>
          <w:bCs/>
          <w:sz w:val="32"/>
          <w:szCs w:val="32"/>
        </w:rPr>
      </w:pPr>
      <w:r>
        <w:rPr>
          <w:rFonts w:hint="eastAsia" w:ascii="仿宋" w:hAnsi="仿宋" w:eastAsia="仿宋"/>
          <w:sz w:val="32"/>
          <w:szCs w:val="32"/>
        </w:rPr>
        <w:t xml:space="preserve">    </w:t>
      </w:r>
      <w:r>
        <w:rPr>
          <w:rFonts w:hint="eastAsia" w:ascii="仿宋" w:hAnsi="仿宋" w:eastAsia="仿宋"/>
          <w:b/>
          <w:bCs/>
          <w:sz w:val="32"/>
          <w:szCs w:val="32"/>
        </w:rPr>
        <w:t xml:space="preserve">第十四条 </w:t>
      </w:r>
      <w:r>
        <w:rPr>
          <w:rFonts w:hint="eastAsia" w:ascii="仿宋" w:hAnsi="仿宋" w:eastAsia="仿宋"/>
          <w:sz w:val="32"/>
          <w:szCs w:val="32"/>
        </w:rPr>
        <w:t>建筑企业在本规定施行之日前已经办理跨省承揽业务备案的，除按照本规定变更信息外，任何单位或个人不得要求企业重新报送信息。</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outlineLvl w:val="9"/>
        <w:rPr>
          <w:rFonts w:hint="eastAsia" w:ascii="仿宋" w:hAnsi="仿宋" w:eastAsia="仿宋"/>
        </w:rPr>
      </w:pPr>
      <w:r>
        <w:rPr>
          <w:rFonts w:hint="eastAsia" w:ascii="仿宋" w:hAnsi="仿宋" w:eastAsia="仿宋"/>
          <w:b/>
          <w:bCs/>
          <w:sz w:val="32"/>
          <w:szCs w:val="32"/>
        </w:rPr>
        <w:t xml:space="preserve">    第十五条 </w:t>
      </w:r>
      <w:r>
        <w:rPr>
          <w:rFonts w:hint="eastAsia" w:ascii="仿宋" w:hAnsi="仿宋" w:eastAsia="仿宋"/>
          <w:sz w:val="32"/>
          <w:szCs w:val="32"/>
        </w:rPr>
        <w:t>本规定自2016年1月1日起施行。原有关文件与本规定不一致的，按本规定执行。</w:t>
      </w:r>
    </w:p>
    <w:p>
      <w:pPr>
        <w:rPr>
          <w:rFonts w:hint="eastAsia"/>
          <w:sz w:val="32"/>
          <w:szCs w:val="32"/>
          <w:lang w:val="en-US" w:eastAsia="zh-CN"/>
        </w:rPr>
        <w:sectPr>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pPr>
      <w:bookmarkStart w:id="0" w:name="_GoBack"/>
      <w:bookmarkEnd w:id="0"/>
    </w:p>
    <w:p>
      <w:pPr>
        <w:rPr>
          <w:rFonts w:hint="eastAsia"/>
          <w:sz w:val="32"/>
          <w:szCs w:val="32"/>
          <w:lang w:val="en-US" w:eastAsia="zh-CN"/>
        </w:rPr>
      </w:pPr>
      <w:r>
        <w:rPr>
          <w:rFonts w:hint="eastAsia"/>
          <w:sz w:val="32"/>
          <w:szCs w:val="32"/>
          <w:lang w:val="en-US" w:eastAsia="zh-CN"/>
        </w:rPr>
        <w:t>附件2</w:t>
      </w:r>
    </w:p>
    <w:p>
      <w:pPr>
        <w:rPr>
          <w:rFonts w:hint="eastAsia"/>
          <w:sz w:val="30"/>
          <w:szCs w:val="30"/>
          <w:lang w:val="en-US" w:eastAsia="zh-CN"/>
        </w:rPr>
      </w:pPr>
    </w:p>
    <w:p>
      <w:pPr>
        <w:jc w:val="center"/>
        <w:rPr>
          <w:rFonts w:hint="eastAsia"/>
          <w:sz w:val="30"/>
          <w:szCs w:val="30"/>
          <w:u w:val="single"/>
          <w:lang w:val="en-US" w:eastAsia="zh-CN"/>
        </w:rPr>
      </w:pPr>
      <w:r>
        <w:rPr>
          <w:rFonts w:hint="eastAsia"/>
          <w:sz w:val="30"/>
          <w:szCs w:val="30"/>
          <w:lang w:val="en-US" w:eastAsia="zh-CN"/>
        </w:rPr>
        <w:t>省际协调联动机制名单         单位：</w:t>
      </w:r>
      <w:r>
        <w:rPr>
          <w:rFonts w:hint="eastAsia"/>
          <w:sz w:val="30"/>
          <w:szCs w:val="30"/>
          <w:u w:val="single"/>
          <w:lang w:val="en-US" w:eastAsia="zh-CN"/>
        </w:rPr>
        <w:t xml:space="preserve">                 </w:t>
      </w:r>
    </w:p>
    <w:p>
      <w:pPr>
        <w:jc w:val="center"/>
        <w:rPr>
          <w:rFonts w:hint="eastAsia"/>
          <w:sz w:val="30"/>
          <w:szCs w:val="30"/>
          <w:u w:val="single"/>
          <w:lang w:val="en-US" w:eastAsia="zh-CN"/>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420" w:type="dxa"/>
            <w:tcBorders>
              <w:tl2br w:val="single" w:color="auto" w:sz="4" w:space="0"/>
            </w:tcBorders>
            <w:vAlign w:val="center"/>
          </w:tcPr>
          <w:p>
            <w:pPr>
              <w:jc w:val="center"/>
              <w:rPr>
                <w:rFonts w:hint="eastAsia"/>
                <w:sz w:val="30"/>
                <w:szCs w:val="30"/>
                <w:vertAlign w:val="baseline"/>
                <w:lang w:val="en-US" w:eastAsia="zh-CN"/>
              </w:rPr>
            </w:pPr>
          </w:p>
        </w:tc>
        <w:tc>
          <w:tcPr>
            <w:tcW w:w="1420" w:type="dxa"/>
            <w:vAlign w:val="center"/>
          </w:tcPr>
          <w:p>
            <w:pPr>
              <w:jc w:val="center"/>
              <w:rPr>
                <w:rFonts w:hint="eastAsia"/>
                <w:sz w:val="30"/>
                <w:szCs w:val="30"/>
                <w:vertAlign w:val="baseline"/>
                <w:lang w:val="en-US" w:eastAsia="zh-CN"/>
              </w:rPr>
            </w:pPr>
            <w:r>
              <w:rPr>
                <w:rFonts w:hint="eastAsia"/>
                <w:sz w:val="30"/>
                <w:szCs w:val="30"/>
                <w:vertAlign w:val="baseline"/>
                <w:lang w:val="en-US" w:eastAsia="zh-CN"/>
              </w:rPr>
              <w:t>姓名</w:t>
            </w:r>
          </w:p>
        </w:tc>
        <w:tc>
          <w:tcPr>
            <w:tcW w:w="1420" w:type="dxa"/>
            <w:vAlign w:val="center"/>
          </w:tcPr>
          <w:p>
            <w:pPr>
              <w:jc w:val="center"/>
              <w:rPr>
                <w:rFonts w:hint="eastAsia"/>
                <w:sz w:val="30"/>
                <w:szCs w:val="30"/>
                <w:vertAlign w:val="baseline"/>
                <w:lang w:val="en-US" w:eastAsia="zh-CN"/>
              </w:rPr>
            </w:pPr>
            <w:r>
              <w:rPr>
                <w:rFonts w:hint="eastAsia"/>
                <w:sz w:val="30"/>
                <w:szCs w:val="30"/>
                <w:vertAlign w:val="baseline"/>
                <w:lang w:val="en-US" w:eastAsia="zh-CN"/>
              </w:rPr>
              <w:t>部门</w:t>
            </w:r>
          </w:p>
        </w:tc>
        <w:tc>
          <w:tcPr>
            <w:tcW w:w="1420" w:type="dxa"/>
            <w:vAlign w:val="center"/>
          </w:tcPr>
          <w:p>
            <w:pPr>
              <w:jc w:val="center"/>
              <w:rPr>
                <w:rFonts w:hint="eastAsia"/>
                <w:sz w:val="30"/>
                <w:szCs w:val="30"/>
                <w:vertAlign w:val="baseline"/>
                <w:lang w:val="en-US" w:eastAsia="zh-CN"/>
              </w:rPr>
            </w:pPr>
            <w:r>
              <w:rPr>
                <w:rFonts w:hint="eastAsia"/>
                <w:sz w:val="30"/>
                <w:szCs w:val="30"/>
                <w:vertAlign w:val="baseline"/>
                <w:lang w:val="en-US" w:eastAsia="zh-CN"/>
              </w:rPr>
              <w:t>职务</w:t>
            </w:r>
          </w:p>
        </w:tc>
        <w:tc>
          <w:tcPr>
            <w:tcW w:w="1421" w:type="dxa"/>
            <w:vAlign w:val="center"/>
          </w:tcPr>
          <w:p>
            <w:pPr>
              <w:jc w:val="center"/>
              <w:rPr>
                <w:rFonts w:hint="eastAsia"/>
                <w:sz w:val="30"/>
                <w:szCs w:val="30"/>
                <w:vertAlign w:val="baseline"/>
                <w:lang w:val="en-US" w:eastAsia="zh-CN"/>
              </w:rPr>
            </w:pPr>
            <w:r>
              <w:rPr>
                <w:rFonts w:hint="eastAsia"/>
                <w:sz w:val="30"/>
                <w:szCs w:val="30"/>
                <w:vertAlign w:val="baseline"/>
                <w:lang w:val="en-US" w:eastAsia="zh-CN"/>
              </w:rPr>
              <w:t>联系电话</w:t>
            </w:r>
          </w:p>
        </w:tc>
        <w:tc>
          <w:tcPr>
            <w:tcW w:w="1421" w:type="dxa"/>
            <w:vAlign w:val="center"/>
          </w:tcPr>
          <w:p>
            <w:pPr>
              <w:jc w:val="center"/>
              <w:rPr>
                <w:rFonts w:hint="eastAsia"/>
                <w:sz w:val="30"/>
                <w:szCs w:val="30"/>
                <w:vertAlign w:val="baseline"/>
                <w:lang w:val="en-US" w:eastAsia="zh-CN"/>
              </w:rPr>
            </w:pPr>
            <w:r>
              <w:rPr>
                <w:rFonts w:hint="eastAsia"/>
                <w:sz w:val="30"/>
                <w:szCs w:val="30"/>
                <w:vertAlign w:val="baseline"/>
                <w:lang w:val="en-US" w:eastAsia="zh-CN"/>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420" w:type="dxa"/>
            <w:vAlign w:val="center"/>
          </w:tcPr>
          <w:p>
            <w:pPr>
              <w:jc w:val="center"/>
              <w:rPr>
                <w:rFonts w:hint="eastAsia"/>
                <w:sz w:val="30"/>
                <w:szCs w:val="30"/>
                <w:vertAlign w:val="baseline"/>
                <w:lang w:val="en-US" w:eastAsia="zh-CN"/>
              </w:rPr>
            </w:pPr>
            <w:r>
              <w:rPr>
                <w:rFonts w:hint="eastAsia"/>
                <w:sz w:val="30"/>
                <w:szCs w:val="30"/>
                <w:vertAlign w:val="baseline"/>
                <w:lang w:val="en-US" w:eastAsia="zh-CN"/>
              </w:rPr>
              <w:t>成员</w:t>
            </w:r>
          </w:p>
        </w:tc>
        <w:tc>
          <w:tcPr>
            <w:tcW w:w="1420" w:type="dxa"/>
            <w:vAlign w:val="center"/>
          </w:tcPr>
          <w:p>
            <w:pPr>
              <w:jc w:val="center"/>
              <w:rPr>
                <w:rFonts w:hint="eastAsia"/>
                <w:sz w:val="30"/>
                <w:szCs w:val="30"/>
                <w:vertAlign w:val="baseline"/>
                <w:lang w:val="en-US" w:eastAsia="zh-CN"/>
              </w:rPr>
            </w:pPr>
          </w:p>
        </w:tc>
        <w:tc>
          <w:tcPr>
            <w:tcW w:w="1420" w:type="dxa"/>
            <w:vAlign w:val="center"/>
          </w:tcPr>
          <w:p>
            <w:pPr>
              <w:jc w:val="center"/>
              <w:rPr>
                <w:rFonts w:hint="eastAsia"/>
                <w:sz w:val="30"/>
                <w:szCs w:val="30"/>
                <w:vertAlign w:val="baseline"/>
                <w:lang w:val="en-US" w:eastAsia="zh-CN"/>
              </w:rPr>
            </w:pPr>
          </w:p>
        </w:tc>
        <w:tc>
          <w:tcPr>
            <w:tcW w:w="1420" w:type="dxa"/>
            <w:vAlign w:val="center"/>
          </w:tcPr>
          <w:p>
            <w:pPr>
              <w:jc w:val="center"/>
              <w:rPr>
                <w:rFonts w:hint="eastAsia"/>
                <w:sz w:val="30"/>
                <w:szCs w:val="30"/>
                <w:vertAlign w:val="baseline"/>
                <w:lang w:val="en-US" w:eastAsia="zh-CN"/>
              </w:rPr>
            </w:pPr>
          </w:p>
        </w:tc>
        <w:tc>
          <w:tcPr>
            <w:tcW w:w="1421" w:type="dxa"/>
            <w:vAlign w:val="center"/>
          </w:tcPr>
          <w:p>
            <w:pPr>
              <w:jc w:val="center"/>
              <w:rPr>
                <w:rFonts w:hint="eastAsia"/>
                <w:sz w:val="30"/>
                <w:szCs w:val="30"/>
                <w:vertAlign w:val="baseline"/>
                <w:lang w:val="en-US" w:eastAsia="zh-CN"/>
              </w:rPr>
            </w:pPr>
          </w:p>
        </w:tc>
        <w:tc>
          <w:tcPr>
            <w:tcW w:w="1421" w:type="dxa"/>
            <w:vAlign w:val="center"/>
          </w:tcPr>
          <w:p>
            <w:pPr>
              <w:jc w:val="center"/>
              <w:rPr>
                <w:rFonts w:hint="eastAsia"/>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420" w:type="dxa"/>
            <w:vAlign w:val="center"/>
          </w:tcPr>
          <w:p>
            <w:pPr>
              <w:jc w:val="center"/>
              <w:rPr>
                <w:rFonts w:hint="eastAsia"/>
                <w:sz w:val="30"/>
                <w:szCs w:val="30"/>
                <w:vertAlign w:val="baseline"/>
                <w:lang w:val="en-US" w:eastAsia="zh-CN"/>
              </w:rPr>
            </w:pPr>
            <w:r>
              <w:rPr>
                <w:rFonts w:hint="eastAsia"/>
                <w:sz w:val="30"/>
                <w:szCs w:val="30"/>
                <w:vertAlign w:val="baseline"/>
                <w:lang w:val="en-US" w:eastAsia="zh-CN"/>
              </w:rPr>
              <w:t>联络员</w:t>
            </w:r>
          </w:p>
        </w:tc>
        <w:tc>
          <w:tcPr>
            <w:tcW w:w="1420" w:type="dxa"/>
            <w:vAlign w:val="center"/>
          </w:tcPr>
          <w:p>
            <w:pPr>
              <w:jc w:val="center"/>
              <w:rPr>
                <w:rFonts w:hint="eastAsia"/>
                <w:sz w:val="30"/>
                <w:szCs w:val="30"/>
                <w:vertAlign w:val="baseline"/>
                <w:lang w:val="en-US" w:eastAsia="zh-CN"/>
              </w:rPr>
            </w:pPr>
          </w:p>
        </w:tc>
        <w:tc>
          <w:tcPr>
            <w:tcW w:w="1420" w:type="dxa"/>
            <w:vAlign w:val="center"/>
          </w:tcPr>
          <w:p>
            <w:pPr>
              <w:jc w:val="center"/>
              <w:rPr>
                <w:rFonts w:hint="eastAsia"/>
                <w:sz w:val="30"/>
                <w:szCs w:val="30"/>
                <w:vertAlign w:val="baseline"/>
                <w:lang w:val="en-US" w:eastAsia="zh-CN"/>
              </w:rPr>
            </w:pPr>
          </w:p>
        </w:tc>
        <w:tc>
          <w:tcPr>
            <w:tcW w:w="1420" w:type="dxa"/>
            <w:vAlign w:val="center"/>
          </w:tcPr>
          <w:p>
            <w:pPr>
              <w:jc w:val="center"/>
              <w:rPr>
                <w:rFonts w:hint="eastAsia"/>
                <w:sz w:val="30"/>
                <w:szCs w:val="30"/>
                <w:vertAlign w:val="baseline"/>
                <w:lang w:val="en-US" w:eastAsia="zh-CN"/>
              </w:rPr>
            </w:pPr>
          </w:p>
        </w:tc>
        <w:tc>
          <w:tcPr>
            <w:tcW w:w="1421" w:type="dxa"/>
            <w:vAlign w:val="center"/>
          </w:tcPr>
          <w:p>
            <w:pPr>
              <w:jc w:val="center"/>
              <w:rPr>
                <w:rFonts w:hint="eastAsia"/>
                <w:sz w:val="30"/>
                <w:szCs w:val="30"/>
                <w:vertAlign w:val="baseline"/>
                <w:lang w:val="en-US" w:eastAsia="zh-CN"/>
              </w:rPr>
            </w:pPr>
          </w:p>
        </w:tc>
        <w:tc>
          <w:tcPr>
            <w:tcW w:w="1421" w:type="dxa"/>
            <w:vAlign w:val="center"/>
          </w:tcPr>
          <w:p>
            <w:pPr>
              <w:jc w:val="center"/>
              <w:rPr>
                <w:rFonts w:hint="eastAsia"/>
                <w:sz w:val="30"/>
                <w:szCs w:val="30"/>
                <w:vertAlign w:val="baseline"/>
                <w:lang w:val="en-US" w:eastAsia="zh-CN"/>
              </w:rPr>
            </w:pPr>
          </w:p>
        </w:tc>
      </w:tr>
    </w:tbl>
    <w:p>
      <w:pPr>
        <w:rPr>
          <w:rFonts w:hint="eastAsia"/>
          <w:lang w:val="en-US" w:eastAsia="zh-CN"/>
        </w:rPr>
      </w:pPr>
    </w:p>
    <w:p>
      <w:pPr>
        <w:rPr>
          <w:rFonts w:hint="eastAsia" w:ascii="仿宋" w:hAnsi="仿宋" w:eastAsia="仿宋"/>
        </w:rPr>
      </w:pPr>
      <w:r>
        <w:rPr>
          <w:rFonts w:hint="eastAsia" w:ascii="仿宋" w:hAnsi="仿宋" w:eastAsia="仿宋"/>
        </w:rPr>
        <w:t>注：成员指分管该项工作的厅级干部，联络员指直接负责该项工作的同志</w:t>
      </w:r>
    </w:p>
    <w:p>
      <w:pPr>
        <w:rPr>
          <w:rFonts w:hint="eastAsia"/>
          <w:lang w:val="en-US" w:eastAsia="zh-CN"/>
        </w:rPr>
      </w:pPr>
    </w:p>
    <w:sectPr>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宋体 ，Arial">
    <w:altName w:val="宋体"/>
    <w:panose1 w:val="00000000000000000000"/>
    <w:charset w:val="86"/>
    <w:family w:val="modern"/>
    <w:pitch w:val="default"/>
    <w:sig w:usb0="00000000" w:usb1="00000000" w:usb2="00000010" w:usb3="00000000" w:csb0="00040000" w:csb1="00000000"/>
  </w:font>
  <w:font w:name="宋体 ，Arial">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875C95"/>
    <w:rsid w:val="07875C9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4">
    <w:name w:val="page number"/>
    <w:basedOn w:val="3"/>
    <w:uiPriority w:val="0"/>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2015-12-01T03:00:00Z</dcterms:created>
  <dc:creator>Administrator</dc:creator>
  <cp:lastModifiedBy>Administrator</cp:lastModifiedBy>
  <dcterms:modified xsi:type="dcterms:W3CDTF">2015-12-01T03:14:25Z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